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C3C2D" w:rsidRPr="002C3C2D">
        <w:rPr>
          <w:snapToGrid/>
          <w:color w:val="000000" w:themeColor="text1"/>
          <w:sz w:val="24"/>
          <w:szCs w:val="24"/>
        </w:rPr>
        <w:t>3</w:t>
      </w:r>
      <w:r w:rsidR="002C3C2D" w:rsidRPr="00361960">
        <w:rPr>
          <w:snapToGrid/>
          <w:color w:val="000000" w:themeColor="text1"/>
          <w:sz w:val="24"/>
          <w:szCs w:val="24"/>
        </w:rPr>
        <w:t>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2C3C2D" w:rsidRPr="00361960">
        <w:rPr>
          <w:snapToGrid/>
          <w:color w:val="000000" w:themeColor="text1"/>
          <w:sz w:val="24"/>
          <w:szCs w:val="24"/>
        </w:rPr>
        <w:t>8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2C3C2D">
        <w:rPr>
          <w:color w:val="000000" w:themeColor="text1"/>
          <w:sz w:val="32"/>
          <w:szCs w:val="32"/>
        </w:rPr>
        <w:t xml:space="preserve"> </w:t>
      </w:r>
      <w:r w:rsidR="002C3C2D" w:rsidRPr="002C3C2D">
        <w:rPr>
          <w:rFonts w:ascii="Helv" w:hAnsi="Helv" w:cs="Helv"/>
          <w:color w:val="000000"/>
          <w:sz w:val="16"/>
          <w:szCs w:val="16"/>
        </w:rPr>
        <w:t xml:space="preserve"> </w:t>
      </w:r>
      <w:r w:rsidR="002C3C2D" w:rsidRPr="002C3C2D">
        <w:rPr>
          <w:color w:val="000000" w:themeColor="text1"/>
          <w:sz w:val="32"/>
          <w:szCs w:val="32"/>
        </w:rPr>
        <w:t>силовых трансформаторов ТМ 100/10/0,4 кВ (2 шт.),  г. Самара ул. Литвинова 214, инв. №63., КНС №10</w:t>
      </w:r>
      <w:r w:rsidR="002C3C2D" w:rsidRPr="00361960">
        <w:rPr>
          <w:rFonts w:ascii="Helv" w:hAnsi="Helv" w:cs="Helv"/>
          <w:color w:val="000000"/>
          <w:sz w:val="16"/>
          <w:szCs w:val="16"/>
        </w:rPr>
        <w:t xml:space="preserve"> </w:t>
      </w:r>
      <w:r w:rsidR="00F5377E">
        <w:rPr>
          <w:color w:val="000000" w:themeColor="text1"/>
          <w:sz w:val="32"/>
          <w:szCs w:val="32"/>
        </w:rPr>
        <w:t xml:space="preserve"> 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361960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C3C2D" w:rsidRPr="00361960">
        <w:rPr>
          <w:b/>
          <w:color w:val="000000" w:themeColor="text1"/>
          <w:sz w:val="32"/>
          <w:szCs w:val="32"/>
        </w:rPr>
        <w:t>506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2C3C2D" w:rsidRDefault="002C3C2D" w:rsidP="00A3534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C3C2D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Капитальный ремонт силовых трансформаторов ТМ 100/10/0,4 кВ (2 шт</w:t>
            </w:r>
            <w:r w:rsidR="00361960" w:rsidRPr="00361960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2C3C2D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),  г. Самара ул. Литвинова 214, инв. №63., КНС №10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C3C2D" w:rsidRPr="002C3C2D">
              <w:rPr>
                <w:b/>
                <w:sz w:val="20"/>
                <w:szCs w:val="20"/>
              </w:rPr>
              <w:t>463690</w:t>
            </w:r>
            <w:r w:rsidR="002C3C2D">
              <w:rPr>
                <w:b/>
                <w:sz w:val="20"/>
                <w:szCs w:val="20"/>
              </w:rPr>
              <w:t>,</w:t>
            </w:r>
            <w:r w:rsidR="00957BCE">
              <w:rPr>
                <w:b/>
                <w:sz w:val="20"/>
                <w:szCs w:val="20"/>
              </w:rPr>
              <w:t xml:space="preserve">00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466A24" w:rsidP="002D21B5">
    <w:pPr>
      <w:pStyle w:val="af8"/>
      <w:jc w:val="center"/>
    </w:pPr>
    <w:fldSimple w:instr=" PAGE   \* MERGEFORMAT ">
      <w:r w:rsidR="00361960">
        <w:rPr>
          <w:noProof/>
        </w:rPr>
        <w:t>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8BE96-2334-4293-A9F7-B0F906B1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14</Pages>
  <Words>4736</Words>
  <Characters>31996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351</cp:revision>
  <cp:lastPrinted>2019-02-04T06:44:00Z</cp:lastPrinted>
  <dcterms:created xsi:type="dcterms:W3CDTF">2019-02-07T06:22:00Z</dcterms:created>
  <dcterms:modified xsi:type="dcterms:W3CDTF">2022-08-31T05:03:00Z</dcterms:modified>
</cp:coreProperties>
</file>